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C8" w:rsidRPr="00A15BA3" w:rsidRDefault="00B61EC8" w:rsidP="00A614E7">
      <w:pPr>
        <w:spacing w:after="120" w:line="240" w:lineRule="auto"/>
        <w:rPr>
          <w:rFonts w:ascii="Palatino Linotype" w:hAnsi="Palatino Linotype"/>
          <w:b/>
          <w:sz w:val="21"/>
          <w:szCs w:val="21"/>
        </w:rPr>
      </w:pPr>
      <w:r w:rsidRPr="007F1B3D">
        <w:rPr>
          <w:rFonts w:ascii="Palatino Linotype" w:eastAsia="Times New Roman" w:hAnsi="Palatino Linotype"/>
          <w:b/>
          <w:bCs/>
          <w:sz w:val="32"/>
          <w:szCs w:val="32"/>
        </w:rPr>
        <w:t>Vocabulary</w:t>
      </w:r>
      <w:r>
        <w:rPr>
          <w:rFonts w:ascii="Palatino Linotype" w:eastAsia="Times New Roman" w:hAnsi="Palatino Linotype"/>
          <w:b/>
          <w:bCs/>
          <w:sz w:val="32"/>
          <w:szCs w:val="32"/>
        </w:rPr>
        <w:t xml:space="preserve"> List #48 (Medieval Pd.</w:t>
      </w:r>
      <w:r>
        <w:rPr>
          <w:rFonts w:ascii="Palatino Linotype" w:eastAsia="Times New Roman" w:hAnsi="Palatino Linotype"/>
          <w:b/>
          <w:bCs/>
          <w:i/>
          <w:sz w:val="32"/>
          <w:szCs w:val="32"/>
        </w:rPr>
        <w:t>)</w:t>
      </w:r>
      <w:bookmarkStart w:id="0" w:name="_GoBack"/>
      <w:bookmarkEnd w:id="0"/>
      <w:r>
        <w:rPr>
          <w:rFonts w:ascii="Palatino Linotype" w:eastAsia="Times New Roman" w:hAnsi="Palatino Linotype"/>
          <w:b/>
          <w:bCs/>
          <w:i/>
          <w:sz w:val="32"/>
          <w:szCs w:val="32"/>
        </w:rPr>
        <w:t xml:space="preserve">          </w:t>
      </w:r>
      <w:r>
        <w:rPr>
          <w:rFonts w:ascii="Palatino Linotype" w:eastAsia="Times New Roman" w:hAnsi="Palatino Linotype"/>
          <w:b/>
          <w:bCs/>
          <w:sz w:val="44"/>
          <w:szCs w:val="44"/>
        </w:rPr>
        <w:tab/>
      </w:r>
      <w:r w:rsidRPr="0028120F">
        <w:rPr>
          <w:rFonts w:ascii="Palatino Linotype" w:hAnsi="Palatino Linotype"/>
          <w:b/>
          <w:sz w:val="24"/>
          <w:szCs w:val="24"/>
        </w:rPr>
        <w:t>Name</w:t>
      </w:r>
      <w:r>
        <w:rPr>
          <w:rFonts w:ascii="Palatino Linotype" w:hAnsi="Palatino Linotype"/>
          <w:b/>
          <w:sz w:val="24"/>
          <w:szCs w:val="24"/>
        </w:rPr>
        <w:t>: __</w:t>
      </w:r>
      <w:r w:rsidRPr="0028120F">
        <w:rPr>
          <w:rFonts w:ascii="Palatino Linotype" w:hAnsi="Palatino Linotype"/>
          <w:b/>
          <w:sz w:val="24"/>
          <w:szCs w:val="24"/>
        </w:rPr>
        <w:t>______</w:t>
      </w:r>
      <w:r>
        <w:rPr>
          <w:rFonts w:ascii="Palatino Linotype" w:hAnsi="Palatino Linotype"/>
          <w:b/>
          <w:sz w:val="24"/>
          <w:szCs w:val="24"/>
        </w:rPr>
        <w:t>____</w:t>
      </w:r>
      <w:r w:rsidRPr="0028120F">
        <w:rPr>
          <w:rFonts w:ascii="Palatino Linotype" w:hAnsi="Palatino Linotype"/>
          <w:b/>
          <w:sz w:val="24"/>
          <w:szCs w:val="24"/>
        </w:rPr>
        <w:t>______________________  Date of Test:</w:t>
      </w:r>
      <w:r>
        <w:rPr>
          <w:rFonts w:ascii="Palatino Linotype" w:hAnsi="Palatino Linotype"/>
          <w:b/>
          <w:sz w:val="24"/>
          <w:szCs w:val="24"/>
        </w:rPr>
        <w:t xml:space="preserve"> ___</w:t>
      </w:r>
      <w:r w:rsidRPr="0028120F">
        <w:rPr>
          <w:rFonts w:ascii="Palatino Linotype" w:hAnsi="Palatino Linotype"/>
          <w:b/>
          <w:sz w:val="24"/>
          <w:szCs w:val="24"/>
        </w:rPr>
        <w:t>_________</w:t>
      </w:r>
      <w:r>
        <w:rPr>
          <w:rFonts w:ascii="Palatino Linotype" w:hAnsi="Palatino Linotype"/>
          <w:b/>
          <w:sz w:val="24"/>
          <w:szCs w:val="24"/>
        </w:rPr>
        <w:br/>
      </w:r>
      <w:r>
        <w:rPr>
          <w:rFonts w:asciiTheme="minorHAnsi" w:hAnsiTheme="minorHAnsi"/>
          <w:i/>
          <w:sz w:val="21"/>
          <w:szCs w:val="21"/>
        </w:rPr>
        <w:t xml:space="preserve">Explore each word below, beginning with its definition and that of any stems. Then find at least two synonyms and two antonyms. </w:t>
      </w:r>
      <w:r w:rsidRPr="00A15BA3">
        <w:rPr>
          <w:rFonts w:asciiTheme="minorHAnsi" w:hAnsiTheme="minorHAnsi"/>
          <w:i/>
          <w:sz w:val="21"/>
          <w:szCs w:val="21"/>
        </w:rPr>
        <w:t xml:space="preserve">Round out your understanding of each </w:t>
      </w:r>
      <w:r>
        <w:rPr>
          <w:rFonts w:asciiTheme="minorHAnsi" w:hAnsiTheme="minorHAnsi"/>
          <w:i/>
          <w:sz w:val="21"/>
          <w:szCs w:val="21"/>
        </w:rPr>
        <w:t xml:space="preserve">by </w:t>
      </w:r>
      <w:r w:rsidRPr="00A15BA3">
        <w:rPr>
          <w:rFonts w:asciiTheme="minorHAnsi" w:hAnsiTheme="minorHAnsi"/>
          <w:i/>
          <w:sz w:val="21"/>
          <w:szCs w:val="21"/>
        </w:rPr>
        <w:t xml:space="preserve">connecting it to other words that use the same stems and finding and creating </w:t>
      </w:r>
      <w:r>
        <w:rPr>
          <w:rFonts w:asciiTheme="minorHAnsi" w:hAnsiTheme="minorHAnsi"/>
          <w:i/>
          <w:sz w:val="21"/>
          <w:szCs w:val="21"/>
        </w:rPr>
        <w:t xml:space="preserve">TWO </w:t>
      </w:r>
      <w:r w:rsidRPr="00A15BA3">
        <w:rPr>
          <w:rFonts w:asciiTheme="minorHAnsi" w:hAnsiTheme="minorHAnsi"/>
          <w:i/>
          <w:sz w:val="21"/>
          <w:szCs w:val="21"/>
        </w:rPr>
        <w:t xml:space="preserve">sentences that </w:t>
      </w:r>
      <w:r w:rsidRPr="007E64F1">
        <w:rPr>
          <w:rFonts w:asciiTheme="minorHAnsi" w:hAnsiTheme="minorHAnsi"/>
          <w:b/>
          <w:i/>
          <w:sz w:val="21"/>
          <w:szCs w:val="21"/>
        </w:rPr>
        <w:t>use</w:t>
      </w:r>
      <w:r w:rsidRPr="00A15BA3">
        <w:rPr>
          <w:rFonts w:asciiTheme="minorHAnsi" w:hAnsiTheme="minorHAnsi"/>
          <w:i/>
          <w:sz w:val="21"/>
          <w:szCs w:val="21"/>
        </w:rPr>
        <w:t xml:space="preserve"> the word properly</w:t>
      </w:r>
      <w:r>
        <w:rPr>
          <w:rFonts w:asciiTheme="minorHAnsi" w:hAnsiTheme="minorHAnsi"/>
          <w:i/>
          <w:sz w:val="21"/>
          <w:szCs w:val="21"/>
        </w:rPr>
        <w:t>, presenting solid context clues</w:t>
      </w:r>
      <w:r w:rsidRPr="00A15BA3">
        <w:rPr>
          <w:rFonts w:asciiTheme="minorHAnsi" w:hAnsiTheme="minorHAnsi"/>
          <w:i/>
          <w:sz w:val="21"/>
          <w:szCs w:val="21"/>
        </w:rPr>
        <w:t>.</w:t>
      </w:r>
    </w:p>
    <w:p w:rsidR="00B61EC8" w:rsidRDefault="00B61EC8" w:rsidP="00B61EC8">
      <w:pPr>
        <w:sectPr w:rsidR="00B61EC8" w:rsidSect="007F1B3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400" w:type="dxa"/>
        <w:jc w:val="center"/>
        <w:tblLook w:val="04A0"/>
      </w:tblPr>
      <w:tblGrid>
        <w:gridCol w:w="2880"/>
        <w:gridCol w:w="2610"/>
        <w:gridCol w:w="2772"/>
        <w:gridCol w:w="6138"/>
      </w:tblGrid>
      <w:tr w:rsidR="00545C46" w:rsidRPr="0028120F" w:rsidTr="00545C46">
        <w:trPr>
          <w:trHeight w:val="305"/>
          <w:jc w:val="center"/>
        </w:trPr>
        <w:tc>
          <w:tcPr>
            <w:tcW w:w="2880" w:type="dxa"/>
            <w:vAlign w:val="center"/>
          </w:tcPr>
          <w:p w:rsidR="00545C46" w:rsidRPr="0028120F" w:rsidRDefault="00545C46" w:rsidP="00875AD0">
            <w:pPr>
              <w:spacing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120F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Definitions &amp; Stems:</w:t>
            </w:r>
          </w:p>
        </w:tc>
        <w:tc>
          <w:tcPr>
            <w:tcW w:w="2610" w:type="dxa"/>
            <w:vAlign w:val="center"/>
          </w:tcPr>
          <w:p w:rsidR="00545C46" w:rsidRPr="0028120F" w:rsidRDefault="00B61EC8" w:rsidP="0046534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EE0">
              <w:rPr>
                <w:rFonts w:ascii="Palatino Linotype" w:hAnsi="Palatino Linotype"/>
                <w:b/>
              </w:rPr>
              <w:t>Synonyms (2)</w:t>
            </w:r>
            <w:r>
              <w:rPr>
                <w:rFonts w:ascii="Palatino Linotype" w:hAnsi="Palatino Linotype"/>
                <w:b/>
              </w:rPr>
              <w:t xml:space="preserve"> &amp; </w:t>
            </w:r>
            <w:r w:rsidRPr="00702EE0">
              <w:rPr>
                <w:rFonts w:ascii="Palatino Linotype" w:hAnsi="Palatino Linotype"/>
                <w:b/>
              </w:rPr>
              <w:br/>
              <w:t>Antonyms (2)</w:t>
            </w:r>
          </w:p>
        </w:tc>
        <w:tc>
          <w:tcPr>
            <w:tcW w:w="2772" w:type="dxa"/>
            <w:vAlign w:val="center"/>
          </w:tcPr>
          <w:p w:rsidR="00545C46" w:rsidRPr="0028120F" w:rsidRDefault="00545C46" w:rsidP="0046534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81CA1">
              <w:rPr>
                <w:rFonts w:ascii="Palatino Linotype" w:hAnsi="Palatino Linotype"/>
                <w:b/>
                <w:sz w:val="20"/>
                <w:szCs w:val="20"/>
              </w:rPr>
              <w:t>Different words (3) that use the same stem/s (cover all)</w:t>
            </w:r>
          </w:p>
        </w:tc>
        <w:tc>
          <w:tcPr>
            <w:tcW w:w="6138" w:type="dxa"/>
            <w:vAlign w:val="center"/>
          </w:tcPr>
          <w:p w:rsidR="00545C46" w:rsidRPr="0028120F" w:rsidRDefault="00545C46" w:rsidP="00465342">
            <w:pPr>
              <w:spacing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120F">
              <w:rPr>
                <w:rFonts w:ascii="Palatino Linotype" w:hAnsi="Palatino Linotype"/>
                <w:b/>
                <w:sz w:val="24"/>
                <w:szCs w:val="24"/>
              </w:rPr>
              <w:t>Sentences</w:t>
            </w:r>
            <w:r w:rsidRPr="0028120F"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(2): 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Make sure each sentence 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clearly shows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br/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how to use the word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 through its </w:t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context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 xml:space="preserve"> clues</w:t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!</w:t>
            </w:r>
          </w:p>
        </w:tc>
      </w:tr>
      <w:tr w:rsidR="00545C46" w:rsidTr="00545C46">
        <w:trPr>
          <w:jc w:val="center"/>
        </w:trPr>
        <w:tc>
          <w:tcPr>
            <w:tcW w:w="2880" w:type="dxa"/>
          </w:tcPr>
          <w:p w:rsidR="00545C46" w:rsidRPr="00352DA3" w:rsidRDefault="00B61EC8" w:rsidP="00C95816">
            <w:pPr>
              <w:spacing w:line="240" w:lineRule="auto"/>
            </w:pPr>
            <w:r>
              <w:t>1</w:t>
            </w:r>
            <w:r w:rsidR="00545C46">
              <w:t xml:space="preserve">. </w:t>
            </w:r>
            <w:r w:rsidR="00545C46" w:rsidRPr="003B3189">
              <w:t xml:space="preserve"> </w:t>
            </w:r>
            <w:r w:rsidR="00545C46" w:rsidRPr="006B66BE">
              <w:rPr>
                <w:b/>
              </w:rPr>
              <w:t>interpolate</w:t>
            </w:r>
            <w:r w:rsidR="00545C46">
              <w:t>—</w:t>
            </w:r>
            <w:r w:rsidR="00545C46" w:rsidRPr="003B3189">
              <w:t>v. to insert</w:t>
            </w:r>
            <w:r w:rsidR="00C95816" w:rsidRPr="00C95816">
              <w:rPr>
                <w:rFonts w:ascii="Open Sans" w:hAnsi="Open Sans"/>
                <w:color w:val="3B3E41"/>
                <w:spacing w:val="10"/>
                <w:sz w:val="27"/>
              </w:rPr>
              <w:t xml:space="preserve"> </w:t>
            </w:r>
            <w:r w:rsidR="00C95816" w:rsidRPr="00C95816">
              <w:t xml:space="preserve"> (words) into a text or into a conversation</w:t>
            </w:r>
            <w:r w:rsidR="00655215">
              <w:t xml:space="preserve"> and alter it</w:t>
            </w:r>
            <w:r w:rsidR="00545C46" w:rsidRPr="003B3189">
              <w:br/>
            </w:r>
            <w:r w:rsidR="00545C46" w:rsidRPr="00B61EC8">
              <w:rPr>
                <w:b/>
              </w:rPr>
              <w:t>inter</w:t>
            </w:r>
            <w:r w:rsidR="00545C46" w:rsidRPr="003B3189">
              <w:t>=between</w:t>
            </w:r>
            <w:r w:rsidR="00C95816">
              <w:t xml:space="preserve">  </w:t>
            </w:r>
            <w:r w:rsidR="00C95816">
              <w:br/>
            </w:r>
            <w:r w:rsidR="00545C46" w:rsidRPr="00655215">
              <w:rPr>
                <w:b/>
                <w:i/>
              </w:rPr>
              <w:t>polire</w:t>
            </w:r>
            <w:r w:rsidR="00545C46" w:rsidRPr="003B3189">
              <w:t>=to polish</w:t>
            </w:r>
          </w:p>
        </w:tc>
        <w:tc>
          <w:tcPr>
            <w:tcW w:w="261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545C46" w:rsidTr="00545C46">
        <w:trPr>
          <w:jc w:val="center"/>
        </w:trPr>
        <w:tc>
          <w:tcPr>
            <w:tcW w:w="2880" w:type="dxa"/>
          </w:tcPr>
          <w:p w:rsidR="00545C46" w:rsidRPr="00F03FE8" w:rsidRDefault="00B61EC8" w:rsidP="00875AD0">
            <w:pPr>
              <w:spacing w:line="240" w:lineRule="auto"/>
              <w:rPr>
                <w:sz w:val="32"/>
                <w:szCs w:val="32"/>
              </w:rPr>
            </w:pPr>
            <w:r>
              <w:t>2</w:t>
            </w:r>
            <w:r w:rsidR="00545C46">
              <w:t>.</w:t>
            </w:r>
            <w:r w:rsidR="00545C46" w:rsidRPr="003B3189">
              <w:t xml:space="preserve">  </w:t>
            </w:r>
            <w:r w:rsidR="00545C46" w:rsidRPr="006B66BE">
              <w:rPr>
                <w:b/>
              </w:rPr>
              <w:t>subjugate</w:t>
            </w:r>
            <w:r w:rsidR="00545C46">
              <w:t>—</w:t>
            </w:r>
            <w:r w:rsidR="00545C46" w:rsidRPr="003B3189">
              <w:t>v. to bring under control</w:t>
            </w:r>
            <w:r w:rsidR="00545C46" w:rsidRPr="003B3189">
              <w:br/>
            </w:r>
            <w:r w:rsidR="00545C46">
              <w:t xml:space="preserve">   </w:t>
            </w:r>
            <w:r w:rsidR="00545C46" w:rsidRPr="00B61EC8">
              <w:rPr>
                <w:b/>
              </w:rPr>
              <w:t>sub</w:t>
            </w:r>
            <w:r w:rsidR="00545C46" w:rsidRPr="003B3189">
              <w:t>=under</w:t>
            </w:r>
            <w:r w:rsidR="00C95816">
              <w:t xml:space="preserve"> </w:t>
            </w:r>
            <w:r w:rsidR="00C95816">
              <w:rPr>
                <w:b/>
              </w:rPr>
              <w:br/>
              <w:t xml:space="preserve">   ju</w:t>
            </w:r>
            <w:r w:rsidR="00545C46" w:rsidRPr="00B61EC8">
              <w:rPr>
                <w:b/>
              </w:rPr>
              <w:t>gum</w:t>
            </w:r>
            <w:r w:rsidR="00545C46" w:rsidRPr="003B3189">
              <w:t>= a yoke</w:t>
            </w:r>
          </w:p>
        </w:tc>
        <w:tc>
          <w:tcPr>
            <w:tcW w:w="261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545C46" w:rsidTr="00545C46">
        <w:trPr>
          <w:jc w:val="center"/>
        </w:trPr>
        <w:tc>
          <w:tcPr>
            <w:tcW w:w="2880" w:type="dxa"/>
          </w:tcPr>
          <w:p w:rsidR="00545C46" w:rsidRPr="00677F14" w:rsidRDefault="00B61EC8" w:rsidP="00875AD0">
            <w:pPr>
              <w:spacing w:line="240" w:lineRule="auto"/>
              <w:rPr>
                <w:sz w:val="12"/>
                <w:szCs w:val="12"/>
              </w:rPr>
            </w:pPr>
            <w:r>
              <w:t>3.</w:t>
            </w:r>
            <w:r w:rsidRPr="003B3189">
              <w:t xml:space="preserve">  </w:t>
            </w:r>
            <w:r w:rsidRPr="006B66BE">
              <w:rPr>
                <w:b/>
              </w:rPr>
              <w:t>replete</w:t>
            </w:r>
            <w:r>
              <w:t>—</w:t>
            </w:r>
            <w:r w:rsidRPr="003B3189">
              <w:t>adj. filled</w:t>
            </w:r>
            <w:r w:rsidRPr="003B3189">
              <w:br/>
            </w:r>
            <w:r>
              <w:t xml:space="preserve">        </w:t>
            </w:r>
            <w:r w:rsidRPr="00B61EC8">
              <w:rPr>
                <w:b/>
              </w:rPr>
              <w:t>re</w:t>
            </w:r>
            <w:r w:rsidRPr="003B3189">
              <w:t>=again</w:t>
            </w:r>
            <w:r>
              <w:br/>
              <w:t xml:space="preserve">        </w:t>
            </w:r>
            <w:r w:rsidRPr="00B61EC8">
              <w:rPr>
                <w:b/>
              </w:rPr>
              <w:t>plet</w:t>
            </w:r>
            <w:r>
              <w:t>=fill</w:t>
            </w:r>
            <w:r w:rsidR="00893C49">
              <w:br/>
            </w:r>
            <w:r w:rsidR="00677F14" w:rsidRPr="00C95816">
              <w:rPr>
                <w:sz w:val="12"/>
                <w:szCs w:val="12"/>
              </w:rPr>
              <w:br/>
            </w:r>
          </w:p>
        </w:tc>
        <w:tc>
          <w:tcPr>
            <w:tcW w:w="261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545C46" w:rsidTr="00545C46">
        <w:trPr>
          <w:jc w:val="center"/>
        </w:trPr>
        <w:tc>
          <w:tcPr>
            <w:tcW w:w="2880" w:type="dxa"/>
          </w:tcPr>
          <w:p w:rsidR="00C50E6A" w:rsidRPr="005D6BD9" w:rsidRDefault="00B61EC8" w:rsidP="00E56828">
            <w:pPr>
              <w:spacing w:line="240" w:lineRule="auto"/>
            </w:pPr>
            <w:r>
              <w:t xml:space="preserve">4. </w:t>
            </w:r>
            <w:r w:rsidR="003F1446">
              <w:rPr>
                <w:b/>
              </w:rPr>
              <w:t>nonchalant</w:t>
            </w:r>
            <w:r>
              <w:t>—a</w:t>
            </w:r>
            <w:r w:rsidR="003F1446">
              <w:t xml:space="preserve">dj. </w:t>
            </w:r>
            <w:r w:rsidR="00C50E6A">
              <w:t>(Fr.)</w:t>
            </w:r>
            <w:r w:rsidR="00E56828">
              <w:t xml:space="preserve"> </w:t>
            </w:r>
            <w:r w:rsidR="00E56828" w:rsidRPr="00E56828">
              <w:t> feeling or appearing casually calm and relaxed</w:t>
            </w:r>
            <w:r w:rsidR="00E56828">
              <w:br/>
            </w:r>
            <w:r w:rsidR="00C50E6A" w:rsidRPr="00893C49">
              <w:rPr>
                <w:b/>
              </w:rPr>
              <w:t>non</w:t>
            </w:r>
            <w:r w:rsidR="00C50E6A">
              <w:t>=not</w:t>
            </w:r>
            <w:r w:rsidR="00677F14">
              <w:t>; lack of</w:t>
            </w:r>
            <w:r w:rsidR="00C50E6A">
              <w:br/>
            </w:r>
            <w:r w:rsidR="00C50E6A" w:rsidRPr="00893C49">
              <w:rPr>
                <w:i/>
              </w:rPr>
              <w:t>charloir</w:t>
            </w:r>
            <w:r w:rsidR="00C50E6A">
              <w:t>=to have concern for</w:t>
            </w:r>
          </w:p>
        </w:tc>
        <w:tc>
          <w:tcPr>
            <w:tcW w:w="261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545C46" w:rsidTr="00545C46">
        <w:trPr>
          <w:jc w:val="center"/>
        </w:trPr>
        <w:tc>
          <w:tcPr>
            <w:tcW w:w="2880" w:type="dxa"/>
          </w:tcPr>
          <w:p w:rsidR="00545C46" w:rsidRDefault="00B61EC8" w:rsidP="00E56828">
            <w:pPr>
              <w:spacing w:line="240" w:lineRule="auto"/>
            </w:pPr>
            <w:r>
              <w:t>5</w:t>
            </w:r>
            <w:r w:rsidR="00545C46">
              <w:t>.</w:t>
            </w:r>
            <w:r w:rsidR="00545C46" w:rsidRPr="003B3189">
              <w:t xml:space="preserve">  </w:t>
            </w:r>
            <w:r w:rsidR="00677F14" w:rsidRPr="006B66BE">
              <w:rPr>
                <w:b/>
              </w:rPr>
              <w:t>effusion</w:t>
            </w:r>
            <w:r w:rsidR="00677F14">
              <w:t>—</w:t>
            </w:r>
            <w:r w:rsidR="00677F14" w:rsidRPr="003B3189">
              <w:t>n. outpouring</w:t>
            </w:r>
            <w:r w:rsidR="00E56828">
              <w:t xml:space="preserve">; </w:t>
            </w:r>
            <w:r w:rsidR="00E56828" w:rsidRPr="00E56828">
              <w:t>an act of talking or writing in an unrestrained or heartfelt wa</w:t>
            </w:r>
            <w:r w:rsidR="00E56828">
              <w:t>y</w:t>
            </w:r>
            <w:r w:rsidR="00677F14" w:rsidRPr="003B3189">
              <w:t>      </w:t>
            </w:r>
            <w:r w:rsidR="00677F14">
              <w:t xml:space="preserve"> </w:t>
            </w:r>
            <w:r w:rsidR="00677F14" w:rsidRPr="003B3189">
              <w:t xml:space="preserve"> </w:t>
            </w:r>
            <w:r w:rsidR="00677F14" w:rsidRPr="00B61EC8">
              <w:rPr>
                <w:b/>
              </w:rPr>
              <w:t>eff</w:t>
            </w:r>
            <w:r w:rsidR="00677F14" w:rsidRPr="003B3189">
              <w:t>=out</w:t>
            </w:r>
            <w:r w:rsidR="00677F14" w:rsidRPr="003B3189">
              <w:br/>
              <w:t>     </w:t>
            </w:r>
            <w:r w:rsidR="00677F14">
              <w:t xml:space="preserve"> </w:t>
            </w:r>
            <w:r w:rsidR="00E56828">
              <w:t xml:space="preserve">       </w:t>
            </w:r>
            <w:r w:rsidR="00677F14" w:rsidRPr="003B3189">
              <w:t xml:space="preserve">  </w:t>
            </w:r>
            <w:r w:rsidR="00677F14" w:rsidRPr="00B61EC8">
              <w:rPr>
                <w:b/>
              </w:rPr>
              <w:t>fus</w:t>
            </w:r>
            <w:r w:rsidR="00677F14" w:rsidRPr="003B3189">
              <w:t>=pour</w:t>
            </w:r>
          </w:p>
        </w:tc>
        <w:tc>
          <w:tcPr>
            <w:tcW w:w="261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545C46" w:rsidTr="00545C46">
        <w:trPr>
          <w:jc w:val="center"/>
        </w:trPr>
        <w:tc>
          <w:tcPr>
            <w:tcW w:w="2880" w:type="dxa"/>
          </w:tcPr>
          <w:p w:rsidR="00545C46" w:rsidRPr="00F03FE8" w:rsidRDefault="00B61EC8" w:rsidP="00F03FE8">
            <w:pPr>
              <w:spacing w:line="240" w:lineRule="auto"/>
              <w:rPr>
                <w:sz w:val="24"/>
                <w:szCs w:val="24"/>
              </w:rPr>
            </w:pPr>
            <w:r>
              <w:t>6</w:t>
            </w:r>
            <w:r w:rsidR="00545C46">
              <w:t>.</w:t>
            </w:r>
            <w:r w:rsidR="00545C46" w:rsidRPr="003B3189">
              <w:t xml:space="preserve">  </w:t>
            </w:r>
            <w:r w:rsidR="00545C46" w:rsidRPr="006B66BE">
              <w:rPr>
                <w:b/>
              </w:rPr>
              <w:t>subjacent</w:t>
            </w:r>
            <w:r w:rsidR="00545C46">
              <w:t>—</w:t>
            </w:r>
            <w:r w:rsidR="00545C46" w:rsidRPr="003B3189">
              <w:t xml:space="preserve">adj. </w:t>
            </w:r>
            <w:r w:rsidR="00F03FE8">
              <w:t xml:space="preserve"> situated below something else; </w:t>
            </w:r>
            <w:r w:rsidR="00545C46" w:rsidRPr="003B3189">
              <w:t>underlying</w:t>
            </w:r>
            <w:r w:rsidR="00545C46" w:rsidRPr="003B3189">
              <w:br/>
              <w:t xml:space="preserve">       </w:t>
            </w:r>
            <w:r w:rsidR="00545C46" w:rsidRPr="00B61EC8">
              <w:rPr>
                <w:b/>
              </w:rPr>
              <w:t>sub</w:t>
            </w:r>
            <w:r w:rsidR="00545C46" w:rsidRPr="003B3189">
              <w:t>=under</w:t>
            </w:r>
            <w:r w:rsidR="00545C46" w:rsidRPr="003B3189">
              <w:br/>
              <w:t xml:space="preserve">       </w:t>
            </w:r>
            <w:r w:rsidR="00545C46" w:rsidRPr="00B61EC8">
              <w:rPr>
                <w:b/>
              </w:rPr>
              <w:t>jacere</w:t>
            </w:r>
            <w:r w:rsidR="00545C46" w:rsidRPr="003B3189">
              <w:t>=to lie</w:t>
            </w:r>
          </w:p>
        </w:tc>
        <w:tc>
          <w:tcPr>
            <w:tcW w:w="261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</w:tbl>
    <w:p w:rsidR="007F1B3D" w:rsidRDefault="007F1B3D" w:rsidP="003B3189">
      <w:pPr>
        <w:sectPr w:rsidR="007F1B3D" w:rsidSect="007F1B3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400" w:type="dxa"/>
        <w:jc w:val="center"/>
        <w:tblLook w:val="04A0"/>
      </w:tblPr>
      <w:tblGrid>
        <w:gridCol w:w="2970"/>
        <w:gridCol w:w="2520"/>
        <w:gridCol w:w="2772"/>
        <w:gridCol w:w="6138"/>
      </w:tblGrid>
      <w:tr w:rsidR="00545C46" w:rsidRPr="0028120F" w:rsidTr="00677F14">
        <w:trPr>
          <w:trHeight w:val="305"/>
          <w:jc w:val="center"/>
        </w:trPr>
        <w:tc>
          <w:tcPr>
            <w:tcW w:w="2970" w:type="dxa"/>
            <w:vAlign w:val="center"/>
          </w:tcPr>
          <w:p w:rsidR="00545C46" w:rsidRPr="0028120F" w:rsidRDefault="00545C46" w:rsidP="00893C49">
            <w:pPr>
              <w:spacing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120F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Definitions &amp; Stems:</w:t>
            </w:r>
          </w:p>
        </w:tc>
        <w:tc>
          <w:tcPr>
            <w:tcW w:w="2520" w:type="dxa"/>
            <w:vAlign w:val="center"/>
          </w:tcPr>
          <w:p w:rsidR="00545C46" w:rsidRPr="0028120F" w:rsidRDefault="00B61EC8" w:rsidP="0046534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EE0">
              <w:rPr>
                <w:rFonts w:ascii="Palatino Linotype" w:hAnsi="Palatino Linotype"/>
                <w:b/>
              </w:rPr>
              <w:t>Synonyms (2)</w:t>
            </w:r>
            <w:r>
              <w:rPr>
                <w:rFonts w:ascii="Palatino Linotype" w:hAnsi="Palatino Linotype"/>
                <w:b/>
              </w:rPr>
              <w:t xml:space="preserve"> &amp; </w:t>
            </w:r>
            <w:r w:rsidRPr="00702EE0">
              <w:rPr>
                <w:rFonts w:ascii="Palatino Linotype" w:hAnsi="Palatino Linotype"/>
                <w:b/>
              </w:rPr>
              <w:br/>
              <w:t>Antonyms (2)</w:t>
            </w:r>
          </w:p>
        </w:tc>
        <w:tc>
          <w:tcPr>
            <w:tcW w:w="2772" w:type="dxa"/>
            <w:vAlign w:val="center"/>
          </w:tcPr>
          <w:p w:rsidR="00545C46" w:rsidRPr="0028120F" w:rsidRDefault="00545C46" w:rsidP="0046534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81CA1">
              <w:rPr>
                <w:rFonts w:ascii="Palatino Linotype" w:hAnsi="Palatino Linotype"/>
                <w:b/>
                <w:sz w:val="20"/>
                <w:szCs w:val="20"/>
              </w:rPr>
              <w:t>Different words (3) that use the same stem/s (cover all)</w:t>
            </w:r>
          </w:p>
        </w:tc>
        <w:tc>
          <w:tcPr>
            <w:tcW w:w="6138" w:type="dxa"/>
            <w:vAlign w:val="center"/>
          </w:tcPr>
          <w:p w:rsidR="00545C46" w:rsidRPr="0028120F" w:rsidRDefault="00545C46" w:rsidP="00465342">
            <w:pPr>
              <w:spacing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120F">
              <w:rPr>
                <w:rFonts w:ascii="Palatino Linotype" w:hAnsi="Palatino Linotype"/>
                <w:b/>
                <w:sz w:val="24"/>
                <w:szCs w:val="24"/>
              </w:rPr>
              <w:t>Sentences</w:t>
            </w:r>
            <w:r w:rsidRPr="0028120F"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(2): 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Make sure each sentence 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clearly shows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br/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how to use the word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 through its </w:t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context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 xml:space="preserve"> clues</w:t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!</w:t>
            </w:r>
          </w:p>
        </w:tc>
      </w:tr>
      <w:tr w:rsidR="00545C46" w:rsidTr="00677F14">
        <w:trPr>
          <w:jc w:val="center"/>
        </w:trPr>
        <w:tc>
          <w:tcPr>
            <w:tcW w:w="2970" w:type="dxa"/>
          </w:tcPr>
          <w:p w:rsidR="00545C46" w:rsidRPr="00352DA3" w:rsidRDefault="00B61EC8" w:rsidP="00893C49">
            <w:pPr>
              <w:spacing w:line="240" w:lineRule="auto"/>
            </w:pPr>
            <w:r>
              <w:t>7</w:t>
            </w:r>
            <w:r w:rsidR="00545C46">
              <w:t>.</w:t>
            </w:r>
            <w:r w:rsidR="00545C46" w:rsidRPr="003B3189">
              <w:t xml:space="preserve">  </w:t>
            </w:r>
            <w:r w:rsidR="00677F14">
              <w:rPr>
                <w:b/>
              </w:rPr>
              <w:t>furtive</w:t>
            </w:r>
            <w:r w:rsidR="00677F14">
              <w:t>—adj</w:t>
            </w:r>
            <w:r w:rsidR="00677F14" w:rsidRPr="003B3189">
              <w:t>.</w:t>
            </w:r>
            <w:r w:rsidR="00677F14">
              <w:t xml:space="preserve">  </w:t>
            </w:r>
            <w:r w:rsidR="00677F14" w:rsidRPr="00677F14">
              <w:t>done in a quiet and secretive way to avoid being noticed</w:t>
            </w:r>
            <w:r w:rsidR="00677F14">
              <w:br/>
            </w:r>
            <w:r w:rsidR="00677F14">
              <w:rPr>
                <w:b/>
              </w:rPr>
              <w:t>fur</w:t>
            </w:r>
            <w:r w:rsidR="00677F14" w:rsidRPr="003B3189">
              <w:t>=</w:t>
            </w:r>
            <w:r w:rsidR="00677F14">
              <w:t>thief</w:t>
            </w:r>
            <w:r w:rsidR="00677F14">
              <w:br/>
            </w:r>
            <w:r w:rsidR="00677F14" w:rsidRPr="00677F14">
              <w:rPr>
                <w:b/>
              </w:rPr>
              <w:t>-ive</w:t>
            </w:r>
            <w:r w:rsidR="00677F14">
              <w:t xml:space="preserve"> = pertaining to; tending to</w:t>
            </w:r>
          </w:p>
        </w:tc>
        <w:tc>
          <w:tcPr>
            <w:tcW w:w="252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545C46" w:rsidTr="00677F14">
        <w:trPr>
          <w:jc w:val="center"/>
        </w:trPr>
        <w:tc>
          <w:tcPr>
            <w:tcW w:w="2970" w:type="dxa"/>
          </w:tcPr>
          <w:p w:rsidR="00545C46" w:rsidRPr="00352DA3" w:rsidRDefault="00B61EC8" w:rsidP="00893C49">
            <w:pPr>
              <w:spacing w:line="240" w:lineRule="auto"/>
            </w:pPr>
            <w:r>
              <w:t>8</w:t>
            </w:r>
            <w:r w:rsidR="00545C46">
              <w:t>.</w:t>
            </w:r>
            <w:r w:rsidR="00545C46" w:rsidRPr="003B3189">
              <w:t> </w:t>
            </w:r>
            <w:r w:rsidR="00677F14">
              <w:t xml:space="preserve"> </w:t>
            </w:r>
            <w:r w:rsidR="00677F14" w:rsidRPr="00677F14">
              <w:rPr>
                <w:b/>
              </w:rPr>
              <w:t>impudence</w:t>
            </w:r>
            <w:r w:rsidR="00677F14">
              <w:t xml:space="preserve">—n. </w:t>
            </w:r>
            <w:r w:rsidR="00875AD0" w:rsidRPr="00875AD0">
              <w:t>not showing due respect for another person</w:t>
            </w:r>
            <w:r w:rsidR="00875AD0">
              <w:br/>
            </w:r>
            <w:r w:rsidR="00875AD0" w:rsidRPr="00875AD0">
              <w:rPr>
                <w:b/>
              </w:rPr>
              <w:t>im</w:t>
            </w:r>
            <w:r w:rsidR="00875AD0">
              <w:rPr>
                <w:b/>
              </w:rPr>
              <w:t>-</w:t>
            </w:r>
            <w:r w:rsidR="00875AD0">
              <w:t>=not or without</w:t>
            </w:r>
            <w:r w:rsidR="00875AD0">
              <w:br/>
            </w:r>
            <w:r w:rsidR="00875AD0" w:rsidRPr="00875AD0">
              <w:rPr>
                <w:b/>
              </w:rPr>
              <w:t>-ence</w:t>
            </w:r>
            <w:r w:rsidR="00875AD0">
              <w:t>=state or condition of</w:t>
            </w:r>
          </w:p>
        </w:tc>
        <w:tc>
          <w:tcPr>
            <w:tcW w:w="252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545C46" w:rsidTr="00677F14">
        <w:trPr>
          <w:jc w:val="center"/>
        </w:trPr>
        <w:tc>
          <w:tcPr>
            <w:tcW w:w="2970" w:type="dxa"/>
          </w:tcPr>
          <w:p w:rsidR="00545C46" w:rsidRPr="00352DA3" w:rsidRDefault="00B61EC8" w:rsidP="00893C49">
            <w:pPr>
              <w:spacing w:line="240" w:lineRule="auto"/>
            </w:pPr>
            <w:r>
              <w:t>9</w:t>
            </w:r>
            <w:r w:rsidR="00545C46">
              <w:t>.</w:t>
            </w:r>
            <w:r w:rsidR="00545C46" w:rsidRPr="003B3189">
              <w:t xml:space="preserve">  </w:t>
            </w:r>
            <w:r w:rsidR="003F1446" w:rsidRPr="003F1446">
              <w:rPr>
                <w:b/>
              </w:rPr>
              <w:t>charlatan</w:t>
            </w:r>
            <w:r w:rsidR="003F1446">
              <w:t xml:space="preserve">—n. </w:t>
            </w:r>
            <w:r w:rsidR="00C50E6A">
              <w:t xml:space="preserve">(Fr.) </w:t>
            </w:r>
            <w:r w:rsidR="003F1446" w:rsidRPr="003F1446">
              <w:t>a person falsely claiming to hav</w:t>
            </w:r>
            <w:r w:rsidR="00C50E6A">
              <w:t>e a special knowledge or skill</w:t>
            </w:r>
            <w:r w:rsidR="00C50E6A">
              <w:br/>
            </w:r>
            <w:r w:rsidR="00C50E6A" w:rsidRPr="00C50E6A">
              <w:rPr>
                <w:sz w:val="16"/>
                <w:szCs w:val="16"/>
              </w:rPr>
              <w:br/>
            </w:r>
            <w:r w:rsidR="00875AD0">
              <w:rPr>
                <w:b/>
              </w:rPr>
              <w:t>-</w:t>
            </w:r>
            <w:r w:rsidR="00C50E6A" w:rsidRPr="00C50E6A">
              <w:rPr>
                <w:b/>
              </w:rPr>
              <w:t>an</w:t>
            </w:r>
            <w:r w:rsidR="00C50E6A">
              <w:t>=pertaining to</w:t>
            </w:r>
          </w:p>
        </w:tc>
        <w:tc>
          <w:tcPr>
            <w:tcW w:w="252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545C46" w:rsidTr="00677F14">
        <w:trPr>
          <w:jc w:val="center"/>
        </w:trPr>
        <w:tc>
          <w:tcPr>
            <w:tcW w:w="2970" w:type="dxa"/>
          </w:tcPr>
          <w:p w:rsidR="00893C49" w:rsidRPr="00352DA3" w:rsidRDefault="00B61EC8" w:rsidP="00797914">
            <w:pPr>
              <w:spacing w:line="240" w:lineRule="auto"/>
            </w:pPr>
            <w:r>
              <w:t>10</w:t>
            </w:r>
            <w:r w:rsidR="00545C46">
              <w:t>.</w:t>
            </w:r>
            <w:r w:rsidR="00545C46" w:rsidRPr="003B3189">
              <w:t xml:space="preserve">  </w:t>
            </w:r>
            <w:r w:rsidR="00677F14" w:rsidRPr="00677F14">
              <w:rPr>
                <w:b/>
              </w:rPr>
              <w:t>inarticulate</w:t>
            </w:r>
            <w:r w:rsidR="00677F14">
              <w:t xml:space="preserve">—adj. </w:t>
            </w:r>
            <w:r w:rsidR="00875AD0" w:rsidRPr="00875AD0">
              <w:t>unable to speak distinctly or express oneself clearly</w:t>
            </w:r>
            <w:r w:rsidR="00E56828">
              <w:br/>
            </w:r>
            <w:r w:rsidR="00E56828">
              <w:rPr>
                <w:b/>
              </w:rPr>
              <w:t>i</w:t>
            </w:r>
            <w:r w:rsidR="00893C49" w:rsidRPr="00893C49">
              <w:rPr>
                <w:b/>
              </w:rPr>
              <w:t>n</w:t>
            </w:r>
            <w:r w:rsidR="00893C49">
              <w:t>-=not</w:t>
            </w:r>
            <w:r w:rsidR="00797914">
              <w:t xml:space="preserve">    |   </w:t>
            </w:r>
            <w:r w:rsidR="00893C49" w:rsidRPr="00893C49">
              <w:rPr>
                <w:i/>
              </w:rPr>
              <w:t>articulare</w:t>
            </w:r>
            <w:r w:rsidR="00893C49">
              <w:t>=to separate into joints</w:t>
            </w:r>
          </w:p>
        </w:tc>
        <w:tc>
          <w:tcPr>
            <w:tcW w:w="252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545C46" w:rsidTr="00677F14">
        <w:trPr>
          <w:jc w:val="center"/>
        </w:trPr>
        <w:tc>
          <w:tcPr>
            <w:tcW w:w="2970" w:type="dxa"/>
          </w:tcPr>
          <w:p w:rsidR="00E56828" w:rsidRPr="00677F14" w:rsidRDefault="00B61EC8" w:rsidP="00797914">
            <w:pPr>
              <w:spacing w:line="240" w:lineRule="auto"/>
            </w:pPr>
            <w:r>
              <w:t>11</w:t>
            </w:r>
            <w:r w:rsidR="00545C46">
              <w:t>.</w:t>
            </w:r>
            <w:r w:rsidR="00545C46" w:rsidRPr="003B3189">
              <w:t xml:space="preserve">  </w:t>
            </w:r>
            <w:r w:rsidR="00677F14">
              <w:rPr>
                <w:b/>
              </w:rPr>
              <w:t>strident</w:t>
            </w:r>
            <w:r w:rsidR="00677F14">
              <w:t xml:space="preserve">—adj. </w:t>
            </w:r>
            <w:r w:rsidR="00E56828">
              <w:t xml:space="preserve"> </w:t>
            </w:r>
            <w:r w:rsidR="00E56828" w:rsidRPr="00E56828">
              <w:t>characterized by harsh, insistent, and discordant sound</w:t>
            </w:r>
            <w:r w:rsidR="00797914">
              <w:t xml:space="preserve">       |     </w:t>
            </w:r>
            <w:r w:rsidR="00E56828">
              <w:t>-</w:t>
            </w:r>
            <w:r w:rsidR="00E56828" w:rsidRPr="00E56828">
              <w:rPr>
                <w:b/>
              </w:rPr>
              <w:t>ent</w:t>
            </w:r>
            <w:r w:rsidR="00E56828">
              <w:t>=inclined to perform or cause</w:t>
            </w:r>
          </w:p>
        </w:tc>
        <w:tc>
          <w:tcPr>
            <w:tcW w:w="252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545C46" w:rsidTr="00677F14">
        <w:trPr>
          <w:jc w:val="center"/>
        </w:trPr>
        <w:tc>
          <w:tcPr>
            <w:tcW w:w="2970" w:type="dxa"/>
          </w:tcPr>
          <w:p w:rsidR="00545C46" w:rsidRPr="00875AD0" w:rsidRDefault="00B61EC8" w:rsidP="00E56828">
            <w:pPr>
              <w:spacing w:line="240" w:lineRule="auto"/>
            </w:pPr>
            <w:r>
              <w:t>12</w:t>
            </w:r>
            <w:r w:rsidR="00545C46">
              <w:t>.</w:t>
            </w:r>
            <w:r w:rsidR="00545C46" w:rsidRPr="003B3189">
              <w:t xml:space="preserve">  </w:t>
            </w:r>
            <w:r w:rsidR="00875AD0">
              <w:rPr>
                <w:b/>
              </w:rPr>
              <w:t>macabre</w:t>
            </w:r>
            <w:r w:rsidR="00875AD0">
              <w:t>—adj. (Fr.)</w:t>
            </w:r>
            <w:r w:rsidR="00E56828" w:rsidRPr="00E5682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E56828" w:rsidRPr="00E56828">
              <w:t xml:space="preserve">disturbing and horrifying </w:t>
            </w:r>
            <w:r w:rsidR="00E56828">
              <w:t>in its</w:t>
            </w:r>
            <w:r w:rsidR="00E56828" w:rsidRPr="00E56828">
              <w:t xml:space="preserve"> depiction of death and injury</w:t>
            </w:r>
            <w:r w:rsidR="00E56828">
              <w:br/>
            </w:r>
            <w:r w:rsidR="00797914">
              <w:rPr>
                <w:i/>
              </w:rPr>
              <w:t>danse m</w:t>
            </w:r>
            <w:r w:rsidR="00797914" w:rsidRPr="00797914">
              <w:rPr>
                <w:i/>
              </w:rPr>
              <w:t>acabre</w:t>
            </w:r>
            <w:r w:rsidR="00797914" w:rsidRPr="00F03FE8">
              <w:t>=dance of death</w:t>
            </w:r>
          </w:p>
        </w:tc>
        <w:tc>
          <w:tcPr>
            <w:tcW w:w="252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</w:tbl>
    <w:p w:rsidR="003B3189" w:rsidRDefault="003B3189" w:rsidP="00E56828"/>
    <w:sectPr w:rsidR="003B3189" w:rsidSect="007F1B3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B1085"/>
    <w:multiLevelType w:val="multilevel"/>
    <w:tmpl w:val="03EE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3189"/>
    <w:rsid w:val="00022778"/>
    <w:rsid w:val="00027FEE"/>
    <w:rsid w:val="0003499F"/>
    <w:rsid w:val="00053E64"/>
    <w:rsid w:val="000845EE"/>
    <w:rsid w:val="000B187D"/>
    <w:rsid w:val="000B2688"/>
    <w:rsid w:val="001117AE"/>
    <w:rsid w:val="00117CDC"/>
    <w:rsid w:val="001A408C"/>
    <w:rsid w:val="00216B90"/>
    <w:rsid w:val="00230890"/>
    <w:rsid w:val="00230A1F"/>
    <w:rsid w:val="00237CDD"/>
    <w:rsid w:val="0028120F"/>
    <w:rsid w:val="002C53E6"/>
    <w:rsid w:val="002C5516"/>
    <w:rsid w:val="002E0CE3"/>
    <w:rsid w:val="002E32EC"/>
    <w:rsid w:val="002E6A92"/>
    <w:rsid w:val="002F65EF"/>
    <w:rsid w:val="002F78E4"/>
    <w:rsid w:val="00311D47"/>
    <w:rsid w:val="003120F2"/>
    <w:rsid w:val="00352DA3"/>
    <w:rsid w:val="00367B26"/>
    <w:rsid w:val="00395126"/>
    <w:rsid w:val="003B3189"/>
    <w:rsid w:val="003D08D7"/>
    <w:rsid w:val="003E2DFB"/>
    <w:rsid w:val="003F1446"/>
    <w:rsid w:val="00432BD7"/>
    <w:rsid w:val="00436396"/>
    <w:rsid w:val="00460516"/>
    <w:rsid w:val="00463EE0"/>
    <w:rsid w:val="004809B2"/>
    <w:rsid w:val="0048746E"/>
    <w:rsid w:val="00496E34"/>
    <w:rsid w:val="00497B0E"/>
    <w:rsid w:val="004B7E52"/>
    <w:rsid w:val="004D0C46"/>
    <w:rsid w:val="004E3141"/>
    <w:rsid w:val="004E6D84"/>
    <w:rsid w:val="004E6DF6"/>
    <w:rsid w:val="004F2A2A"/>
    <w:rsid w:val="004F52EC"/>
    <w:rsid w:val="004F61E4"/>
    <w:rsid w:val="00503989"/>
    <w:rsid w:val="005160AD"/>
    <w:rsid w:val="00545C46"/>
    <w:rsid w:val="005D1BC3"/>
    <w:rsid w:val="005D38E3"/>
    <w:rsid w:val="005D6131"/>
    <w:rsid w:val="005D6BD9"/>
    <w:rsid w:val="00607DC8"/>
    <w:rsid w:val="00610756"/>
    <w:rsid w:val="00655215"/>
    <w:rsid w:val="00677F14"/>
    <w:rsid w:val="00683182"/>
    <w:rsid w:val="006B66BE"/>
    <w:rsid w:val="006C5EF2"/>
    <w:rsid w:val="006E38A6"/>
    <w:rsid w:val="0070274F"/>
    <w:rsid w:val="0076058C"/>
    <w:rsid w:val="00773FD0"/>
    <w:rsid w:val="00797914"/>
    <w:rsid w:val="007B35D5"/>
    <w:rsid w:val="007B5209"/>
    <w:rsid w:val="007E7FAD"/>
    <w:rsid w:val="007F1B3D"/>
    <w:rsid w:val="00816AC8"/>
    <w:rsid w:val="008661E4"/>
    <w:rsid w:val="00871803"/>
    <w:rsid w:val="008723B6"/>
    <w:rsid w:val="00874482"/>
    <w:rsid w:val="00875AD0"/>
    <w:rsid w:val="00893C49"/>
    <w:rsid w:val="008F171C"/>
    <w:rsid w:val="009365B8"/>
    <w:rsid w:val="00957D57"/>
    <w:rsid w:val="0096062B"/>
    <w:rsid w:val="00960CCA"/>
    <w:rsid w:val="00983401"/>
    <w:rsid w:val="00984012"/>
    <w:rsid w:val="009A50B7"/>
    <w:rsid w:val="009B62DF"/>
    <w:rsid w:val="009D0CE5"/>
    <w:rsid w:val="00A238C1"/>
    <w:rsid w:val="00A84650"/>
    <w:rsid w:val="00AD431C"/>
    <w:rsid w:val="00AF539D"/>
    <w:rsid w:val="00B2016B"/>
    <w:rsid w:val="00B20F3E"/>
    <w:rsid w:val="00B36868"/>
    <w:rsid w:val="00B61EC8"/>
    <w:rsid w:val="00B72AEE"/>
    <w:rsid w:val="00B92D41"/>
    <w:rsid w:val="00BD229A"/>
    <w:rsid w:val="00BF5019"/>
    <w:rsid w:val="00C50E6A"/>
    <w:rsid w:val="00C52B24"/>
    <w:rsid w:val="00C63F87"/>
    <w:rsid w:val="00C7149D"/>
    <w:rsid w:val="00C7286B"/>
    <w:rsid w:val="00C86F72"/>
    <w:rsid w:val="00C956EC"/>
    <w:rsid w:val="00C95816"/>
    <w:rsid w:val="00CC5C05"/>
    <w:rsid w:val="00D20769"/>
    <w:rsid w:val="00D41DF8"/>
    <w:rsid w:val="00D51A42"/>
    <w:rsid w:val="00D71A55"/>
    <w:rsid w:val="00D86F56"/>
    <w:rsid w:val="00D9178D"/>
    <w:rsid w:val="00E128CC"/>
    <w:rsid w:val="00E15B6D"/>
    <w:rsid w:val="00E27384"/>
    <w:rsid w:val="00E35025"/>
    <w:rsid w:val="00E56828"/>
    <w:rsid w:val="00E91F27"/>
    <w:rsid w:val="00E96A13"/>
    <w:rsid w:val="00EB0F6C"/>
    <w:rsid w:val="00EC47ED"/>
    <w:rsid w:val="00EE7A27"/>
    <w:rsid w:val="00F03FE8"/>
    <w:rsid w:val="00F4566C"/>
    <w:rsid w:val="00F84456"/>
    <w:rsid w:val="00F90EF5"/>
    <w:rsid w:val="00FB43D8"/>
    <w:rsid w:val="00FC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A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B3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31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3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31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84"/>
    <w:pPr>
      <w:ind w:left="720"/>
      <w:contextualSpacing/>
    </w:pPr>
  </w:style>
  <w:style w:type="table" w:styleId="TableGrid">
    <w:name w:val="Table Grid"/>
    <w:basedOn w:val="TableNormal"/>
    <w:uiPriority w:val="59"/>
    <w:rsid w:val="0035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dctph">
    <w:name w:val="lr_dct_ph"/>
    <w:basedOn w:val="DefaultParagraphFont"/>
    <w:rsid w:val="00496E34"/>
  </w:style>
  <w:style w:type="character" w:customStyle="1" w:styleId="lrdctspkr">
    <w:name w:val="lr_dct_spkr"/>
    <w:basedOn w:val="DefaultParagraphFont"/>
    <w:rsid w:val="00496E34"/>
  </w:style>
  <w:style w:type="character" w:customStyle="1" w:styleId="apple-converted-space">
    <w:name w:val="apple-converted-space"/>
    <w:basedOn w:val="DefaultParagraphFont"/>
    <w:rsid w:val="00496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43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782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691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31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E41B-DEB6-4B54-AB01-75D4048B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jbennett</dc:creator>
  <cp:lastModifiedBy>Jenny</cp:lastModifiedBy>
  <cp:revision>6</cp:revision>
  <cp:lastPrinted>2015-09-08T21:25:00Z</cp:lastPrinted>
  <dcterms:created xsi:type="dcterms:W3CDTF">2018-02-26T01:01:00Z</dcterms:created>
  <dcterms:modified xsi:type="dcterms:W3CDTF">2018-02-26T02:16:00Z</dcterms:modified>
</cp:coreProperties>
</file>